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5EC" w:rsidRDefault="001D25EC">
      <w:pPr>
        <w:adjustRightInd w:val="0"/>
        <w:snapToGrid w:val="0"/>
        <w:spacing w:line="500" w:lineRule="exact"/>
        <w:jc w:val="left"/>
        <w:rPr>
          <w:rFonts w:ascii="仿宋" w:eastAsia="仿宋" w:hAnsi="仿宋"/>
          <w:color w:val="000000"/>
          <w:kern w:val="0"/>
          <w:sz w:val="28"/>
          <w:szCs w:val="28"/>
        </w:rPr>
      </w:pPr>
      <w:r>
        <w:rPr>
          <w:rFonts w:ascii="仿宋" w:eastAsia="仿宋" w:hAnsi="仿宋"/>
          <w:color w:val="000000"/>
          <w:kern w:val="0"/>
          <w:sz w:val="28"/>
          <w:szCs w:val="28"/>
        </w:rPr>
        <w:t>附</w:t>
      </w:r>
      <w:r>
        <w:rPr>
          <w:rFonts w:ascii="仿宋" w:eastAsia="仿宋" w:hAnsi="仿宋" w:hint="eastAsia"/>
          <w:color w:val="000000"/>
          <w:kern w:val="0"/>
          <w:sz w:val="28"/>
          <w:szCs w:val="28"/>
        </w:rPr>
        <w:t>：</w:t>
      </w:r>
      <w:r>
        <w:rPr>
          <w:rFonts w:ascii="仿宋" w:eastAsia="仿宋" w:hAnsi="仿宋"/>
          <w:color w:val="000000"/>
          <w:kern w:val="0"/>
          <w:sz w:val="28"/>
          <w:szCs w:val="28"/>
        </w:rPr>
        <w:t>公示内容</w:t>
      </w:r>
    </w:p>
    <w:p w:rsidR="001D25EC" w:rsidRDefault="001D25EC">
      <w:pPr>
        <w:adjustRightInd w:val="0"/>
        <w:snapToGrid w:val="0"/>
        <w:spacing w:line="500" w:lineRule="exact"/>
        <w:rPr>
          <w:rFonts w:ascii="仿宋" w:eastAsia="仿宋" w:hAnsi="仿宋"/>
          <w:color w:val="000000"/>
          <w:kern w:val="0"/>
          <w:sz w:val="28"/>
          <w:szCs w:val="28"/>
        </w:rPr>
      </w:pPr>
      <w:r>
        <w:rPr>
          <w:rFonts w:ascii="仿宋" w:eastAsia="仿宋" w:hAnsi="仿宋"/>
          <w:color w:val="000000"/>
          <w:kern w:val="0"/>
          <w:sz w:val="28"/>
          <w:szCs w:val="28"/>
        </w:rPr>
        <w:t>项目名称：</w:t>
      </w:r>
      <w:r>
        <w:rPr>
          <w:rFonts w:ascii="仿宋" w:eastAsia="仿宋" w:hAnsi="仿宋" w:hint="eastAsia"/>
          <w:bCs/>
          <w:sz w:val="28"/>
          <w:szCs w:val="28"/>
        </w:rPr>
        <w:t>代谢性疾病治疗药物的创新性研究对临床的指导作用</w:t>
      </w:r>
    </w:p>
    <w:p w:rsidR="001D25EC" w:rsidRDefault="001D25EC">
      <w:pPr>
        <w:adjustRightInd w:val="0"/>
        <w:snapToGrid w:val="0"/>
        <w:spacing w:line="500" w:lineRule="exact"/>
        <w:rPr>
          <w:rFonts w:ascii="仿宋" w:eastAsia="仿宋" w:hAnsi="仿宋"/>
          <w:color w:val="000000"/>
          <w:kern w:val="0"/>
          <w:sz w:val="28"/>
          <w:szCs w:val="28"/>
        </w:rPr>
      </w:pPr>
      <w:r>
        <w:rPr>
          <w:rFonts w:ascii="仿宋" w:eastAsia="仿宋" w:hAnsi="仿宋"/>
          <w:color w:val="000000"/>
          <w:kern w:val="0"/>
          <w:sz w:val="28"/>
          <w:szCs w:val="28"/>
        </w:rPr>
        <w:t>完成单位（含排序）：</w:t>
      </w:r>
      <w:r>
        <w:rPr>
          <w:rFonts w:ascii="仿宋" w:eastAsia="仿宋" w:hAnsi="仿宋" w:hint="eastAsia"/>
          <w:color w:val="000000"/>
          <w:kern w:val="0"/>
          <w:sz w:val="28"/>
          <w:szCs w:val="28"/>
        </w:rPr>
        <w:t>大连医科大学，大连医科大学附属第一医院</w:t>
      </w:r>
    </w:p>
    <w:p w:rsidR="001D25EC" w:rsidRDefault="001D25EC">
      <w:pPr>
        <w:adjustRightInd w:val="0"/>
        <w:snapToGrid w:val="0"/>
        <w:spacing w:line="500" w:lineRule="exact"/>
        <w:rPr>
          <w:rFonts w:ascii="仿宋" w:eastAsia="仿宋" w:hAnsi="仿宋"/>
          <w:color w:val="000000"/>
          <w:kern w:val="0"/>
          <w:sz w:val="28"/>
          <w:szCs w:val="28"/>
        </w:rPr>
      </w:pPr>
      <w:r>
        <w:rPr>
          <w:rFonts w:ascii="仿宋" w:eastAsia="仿宋" w:hAnsi="仿宋"/>
          <w:color w:val="000000"/>
          <w:kern w:val="0"/>
          <w:sz w:val="28"/>
          <w:szCs w:val="28"/>
        </w:rPr>
        <w:t>完成人（含排序）：</w:t>
      </w:r>
      <w:r>
        <w:rPr>
          <w:rFonts w:ascii="仿宋" w:eastAsia="仿宋" w:hAnsi="仿宋" w:hint="eastAsia"/>
          <w:bCs/>
          <w:sz w:val="28"/>
          <w:szCs w:val="28"/>
        </w:rPr>
        <w:t>孙慧君 刘谟震 金越 杨晓波 徐蕾 李文双 张春芳 梁菁</w:t>
      </w:r>
    </w:p>
    <w:p w:rsidR="001D25EC" w:rsidRDefault="001D25EC">
      <w:pPr>
        <w:adjustRightInd w:val="0"/>
        <w:snapToGrid w:val="0"/>
        <w:spacing w:line="500" w:lineRule="exact"/>
        <w:rPr>
          <w:rFonts w:ascii="仿宋" w:eastAsia="仿宋" w:hAnsi="仿宋"/>
          <w:color w:val="000000"/>
          <w:kern w:val="0"/>
          <w:sz w:val="28"/>
          <w:szCs w:val="28"/>
        </w:rPr>
      </w:pPr>
      <w:r>
        <w:rPr>
          <w:rFonts w:ascii="仿宋" w:eastAsia="仿宋" w:hAnsi="仿宋"/>
          <w:color w:val="000000"/>
          <w:kern w:val="0"/>
          <w:sz w:val="28"/>
          <w:szCs w:val="28"/>
        </w:rPr>
        <w:t>项目简介（600—1</w:t>
      </w:r>
      <w:r>
        <w:rPr>
          <w:rFonts w:ascii="仿宋" w:eastAsia="仿宋" w:hAnsi="仿宋" w:hint="eastAsia"/>
          <w:color w:val="000000"/>
          <w:kern w:val="0"/>
          <w:sz w:val="28"/>
          <w:szCs w:val="28"/>
        </w:rPr>
        <w:t>2</w:t>
      </w:r>
      <w:r>
        <w:rPr>
          <w:rFonts w:ascii="仿宋" w:eastAsia="仿宋" w:hAnsi="仿宋"/>
          <w:color w:val="000000"/>
          <w:kern w:val="0"/>
          <w:sz w:val="28"/>
          <w:szCs w:val="28"/>
        </w:rPr>
        <w:t>00字，与申报推荐书</w:t>
      </w:r>
      <w:r>
        <w:rPr>
          <w:rFonts w:ascii="仿宋" w:eastAsia="仿宋" w:hAnsi="仿宋" w:hint="eastAsia"/>
          <w:color w:val="000000"/>
          <w:kern w:val="0"/>
          <w:sz w:val="28"/>
          <w:szCs w:val="28"/>
        </w:rPr>
        <w:t>“</w:t>
      </w:r>
      <w:r>
        <w:rPr>
          <w:rFonts w:ascii="仿宋" w:eastAsia="仿宋" w:hAnsi="仿宋"/>
          <w:color w:val="000000"/>
          <w:kern w:val="0"/>
          <w:sz w:val="28"/>
          <w:szCs w:val="28"/>
        </w:rPr>
        <w:t>项目简介</w:t>
      </w:r>
      <w:r>
        <w:rPr>
          <w:rFonts w:ascii="仿宋" w:eastAsia="仿宋" w:hAnsi="仿宋" w:hint="eastAsia"/>
          <w:color w:val="000000"/>
          <w:kern w:val="0"/>
          <w:sz w:val="28"/>
          <w:szCs w:val="28"/>
        </w:rPr>
        <w:t>”</w:t>
      </w:r>
      <w:r>
        <w:rPr>
          <w:rFonts w:ascii="仿宋" w:eastAsia="仿宋" w:hAnsi="仿宋"/>
          <w:color w:val="000000"/>
          <w:kern w:val="0"/>
          <w:sz w:val="28"/>
          <w:szCs w:val="28"/>
        </w:rPr>
        <w:t>一致）：</w:t>
      </w:r>
    </w:p>
    <w:p w:rsidR="001D25EC" w:rsidRDefault="001D25EC">
      <w:pPr>
        <w:autoSpaceDE w:val="0"/>
        <w:autoSpaceDN w:val="0"/>
        <w:adjustRightInd w:val="0"/>
        <w:spacing w:line="360" w:lineRule="auto"/>
        <w:ind w:firstLineChars="200" w:firstLine="420"/>
        <w:jc w:val="left"/>
        <w:rPr>
          <w:kern w:val="0"/>
          <w:szCs w:val="21"/>
        </w:rPr>
      </w:pPr>
      <w:r>
        <w:rPr>
          <w:kern w:val="0"/>
          <w:szCs w:val="21"/>
        </w:rPr>
        <w:t>糖尿病、高血脂、高血压、动脉粥样硬化、肿瘤、骨质疏松等代谢性疾病，被认为是肿瘤、心脑血管疾病、慢性炎症、感染性疾病、中枢神经系统疾病等众多慢性、多基因复杂性疾病的核心病理基础。目前以单病种、单靶点为主的主流治疗策略对于代谢性疾病严重并发症的干预效果欠佳，而中药通过多成分、多靶标、多环节发挥效应，对于代谢性疾病具有独特的临床治疗优势。</w:t>
      </w:r>
    </w:p>
    <w:p w:rsidR="001D25EC" w:rsidRDefault="001D25EC">
      <w:pPr>
        <w:spacing w:line="360" w:lineRule="auto"/>
        <w:ind w:firstLineChars="200" w:firstLine="420"/>
        <w:rPr>
          <w:kern w:val="0"/>
          <w:szCs w:val="21"/>
        </w:rPr>
      </w:pPr>
      <w:r>
        <w:rPr>
          <w:kern w:val="0"/>
          <w:szCs w:val="21"/>
        </w:rPr>
        <w:t>本课题组多年来一直致力于代谢性</w:t>
      </w:r>
      <w:r>
        <w:rPr>
          <w:szCs w:val="21"/>
        </w:rPr>
        <w:t>治疗药物的研发并在临床实践，项目第一完成人自</w:t>
      </w:r>
      <w:r>
        <w:rPr>
          <w:szCs w:val="21"/>
        </w:rPr>
        <w:t>2001</w:t>
      </w:r>
      <w:r>
        <w:rPr>
          <w:szCs w:val="21"/>
        </w:rPr>
        <w:t>年回国后以来一直从事代谢性疾病药理学的研究，自</w:t>
      </w:r>
      <w:r>
        <w:rPr>
          <w:szCs w:val="21"/>
        </w:rPr>
        <w:t>2005</w:t>
      </w:r>
      <w:r>
        <w:rPr>
          <w:szCs w:val="21"/>
        </w:rPr>
        <w:t>年以来对梓醇、木犀草素、薯蓣皂苷、柚皮苷等中药及硫辛酸</w:t>
      </w:r>
      <w:r>
        <w:rPr>
          <w:color w:val="000000"/>
          <w:szCs w:val="21"/>
        </w:rPr>
        <w:t>等药物抗动脉粥样硬化、绝经期动脉粥样硬化（</w:t>
      </w:r>
      <w:r>
        <w:rPr>
          <w:color w:val="000000"/>
          <w:szCs w:val="21"/>
        </w:rPr>
        <w:t>AS</w:t>
      </w:r>
      <w:r>
        <w:rPr>
          <w:color w:val="000000"/>
          <w:szCs w:val="21"/>
        </w:rPr>
        <w:t>）、糖尿病并发症及骨质疏松等代谢性疾病的作用及机制进行深入的研究。首次阐明上述药物防治代谢性疾病的机制及靶点，为促进抗代谢疾病新药研发及促进中药国际化、现代化提供了临床前资料及药理学依据。项目成果在</w:t>
      </w:r>
      <w:r>
        <w:rPr>
          <w:kern w:val="0"/>
          <w:szCs w:val="21"/>
        </w:rPr>
        <w:t>大连医科大学附属第一医院等</w:t>
      </w:r>
      <w:r>
        <w:rPr>
          <w:kern w:val="0"/>
          <w:szCs w:val="21"/>
        </w:rPr>
        <w:t>3</w:t>
      </w:r>
      <w:r>
        <w:rPr>
          <w:kern w:val="0"/>
          <w:szCs w:val="21"/>
        </w:rPr>
        <w:t>家单位应用，</w:t>
      </w:r>
      <w:r>
        <w:rPr>
          <w:color w:val="000000"/>
          <w:szCs w:val="21"/>
        </w:rPr>
        <w:t>扩大了梓醇、以薯蓣皂苷为主要成分的地奥心血康及硫辛酸等药物的临床适应症。</w:t>
      </w:r>
      <w:r>
        <w:rPr>
          <w:kern w:val="0"/>
          <w:szCs w:val="21"/>
        </w:rPr>
        <w:t>所产生的社会效益，不仅保障了人民的健康，还可促进医院的经济效益，体现了科研服务于社会的宗旨。</w:t>
      </w:r>
    </w:p>
    <w:p w:rsidR="001D25EC" w:rsidRDefault="001D25EC">
      <w:pPr>
        <w:spacing w:line="360" w:lineRule="auto"/>
        <w:ind w:firstLineChars="200" w:firstLine="420"/>
        <w:rPr>
          <w:color w:val="000000"/>
          <w:szCs w:val="21"/>
        </w:rPr>
      </w:pPr>
      <w:r>
        <w:rPr>
          <w:color w:val="000000"/>
          <w:szCs w:val="21"/>
        </w:rPr>
        <w:t>具体成果及创新点如下：</w:t>
      </w:r>
    </w:p>
    <w:p w:rsidR="001D25EC" w:rsidRDefault="001D25EC">
      <w:pPr>
        <w:snapToGrid w:val="0"/>
        <w:spacing w:before="120" w:line="360" w:lineRule="auto"/>
        <w:ind w:firstLineChars="200" w:firstLine="420"/>
        <w:jc w:val="left"/>
        <w:rPr>
          <w:szCs w:val="21"/>
        </w:rPr>
      </w:pPr>
      <w:r>
        <w:rPr>
          <w:szCs w:val="21"/>
        </w:rPr>
        <w:t xml:space="preserve">1. </w:t>
      </w:r>
      <w:r>
        <w:rPr>
          <w:szCs w:val="21"/>
        </w:rPr>
        <w:t>通过建立体内外</w:t>
      </w:r>
      <w:r>
        <w:rPr>
          <w:szCs w:val="21"/>
        </w:rPr>
        <w:t>AS</w:t>
      </w:r>
      <w:r>
        <w:rPr>
          <w:szCs w:val="21"/>
        </w:rPr>
        <w:t>、糖尿病血管损伤、骨质疏松、非酒精性脂肪肝等多种代谢性疾病模型，探讨上述药物对各种因素引起的代谢性疾病的抑制作用及机制，为代谢性疾病的新药研发提供理论基础。</w:t>
      </w:r>
    </w:p>
    <w:p w:rsidR="001D25EC" w:rsidRDefault="001D25EC">
      <w:pPr>
        <w:snapToGrid w:val="0"/>
        <w:spacing w:before="120" w:line="360" w:lineRule="auto"/>
        <w:ind w:firstLineChars="200" w:firstLine="420"/>
        <w:rPr>
          <w:color w:val="000000"/>
          <w:szCs w:val="21"/>
        </w:rPr>
      </w:pPr>
      <w:r>
        <w:rPr>
          <w:bCs/>
          <w:szCs w:val="21"/>
        </w:rPr>
        <w:t xml:space="preserve">2. </w:t>
      </w:r>
      <w:r>
        <w:rPr>
          <w:bCs/>
          <w:szCs w:val="21"/>
        </w:rPr>
        <w:t>本项目</w:t>
      </w:r>
      <w:r>
        <w:rPr>
          <w:szCs w:val="21"/>
        </w:rPr>
        <w:t>证明</w:t>
      </w:r>
      <w:r>
        <w:rPr>
          <w:kern w:val="0"/>
          <w:szCs w:val="21"/>
        </w:rPr>
        <w:t>中药以多靶标、多环节发挥效应，对于代谢性疾病防治具有独特的临床治疗优势。</w:t>
      </w:r>
      <w:r>
        <w:rPr>
          <w:szCs w:val="21"/>
        </w:rPr>
        <w:t>并首次通过抗氧化应激、抗炎、抗线粒体应激及抗衰老机制对</w:t>
      </w:r>
      <w:r>
        <w:rPr>
          <w:szCs w:val="21"/>
        </w:rPr>
        <w:t>AS</w:t>
      </w:r>
      <w:r>
        <w:rPr>
          <w:szCs w:val="21"/>
        </w:rPr>
        <w:t>、绝经期</w:t>
      </w:r>
      <w:r>
        <w:rPr>
          <w:szCs w:val="21"/>
        </w:rPr>
        <w:t>AS</w:t>
      </w:r>
      <w:r>
        <w:rPr>
          <w:szCs w:val="21"/>
        </w:rPr>
        <w:t>、糖尿病血管损伤、骨质疏松及非酒精性脂肪肝等疾病治疗靶点进行研究，首次阐明</w:t>
      </w:r>
      <w:r>
        <w:rPr>
          <w:kern w:val="0"/>
          <w:szCs w:val="21"/>
        </w:rPr>
        <w:t>miR-96-5p/p66shc/cytochrome C</w:t>
      </w:r>
      <w:r>
        <w:rPr>
          <w:kern w:val="0"/>
          <w:szCs w:val="21"/>
        </w:rPr>
        <w:t>通路</w:t>
      </w:r>
      <w:r>
        <w:rPr>
          <w:szCs w:val="21"/>
        </w:rPr>
        <w:t>、</w:t>
      </w:r>
      <w:r>
        <w:rPr>
          <w:szCs w:val="21"/>
        </w:rPr>
        <w:t>PGC-1α/TERT</w:t>
      </w:r>
      <w:r>
        <w:rPr>
          <w:szCs w:val="21"/>
        </w:rPr>
        <w:t>通路、</w:t>
      </w:r>
      <w:r>
        <w:rPr>
          <w:kern w:val="0"/>
          <w:szCs w:val="21"/>
        </w:rPr>
        <w:t>AMPK/NOX4/PI3K/AKT</w:t>
      </w:r>
      <w:r>
        <w:rPr>
          <w:szCs w:val="21"/>
        </w:rPr>
        <w:t>通路、</w:t>
      </w:r>
      <w:r>
        <w:rPr>
          <w:kern w:val="0"/>
          <w:szCs w:val="21"/>
        </w:rPr>
        <w:t>PGC-1α/ERα</w:t>
      </w:r>
      <w:r>
        <w:rPr>
          <w:szCs w:val="21"/>
        </w:rPr>
        <w:t>通路及</w:t>
      </w:r>
      <w:r>
        <w:rPr>
          <w:kern w:val="0"/>
          <w:szCs w:val="21"/>
        </w:rPr>
        <w:t>ERK/Lrp-5/GSK-3β</w:t>
      </w:r>
      <w:r>
        <w:rPr>
          <w:kern w:val="0"/>
          <w:szCs w:val="21"/>
        </w:rPr>
        <w:t>等通路在代谢性疾病中的调控机制，为</w:t>
      </w:r>
      <w:r>
        <w:rPr>
          <w:szCs w:val="21"/>
        </w:rPr>
        <w:t>针对代谢性疾病发病环节进行治疗的新药研发提供全新思路</w:t>
      </w:r>
      <w:r>
        <w:rPr>
          <w:bCs/>
          <w:szCs w:val="21"/>
        </w:rPr>
        <w:t>，也为后续更为深入的研究提供坚实基础。</w:t>
      </w:r>
    </w:p>
    <w:p w:rsidR="001D25EC" w:rsidRDefault="001D25EC">
      <w:pPr>
        <w:autoSpaceDE w:val="0"/>
        <w:autoSpaceDN w:val="0"/>
        <w:adjustRightInd w:val="0"/>
        <w:spacing w:afterLines="30" w:line="360" w:lineRule="auto"/>
        <w:ind w:firstLineChars="200" w:firstLine="420"/>
        <w:rPr>
          <w:szCs w:val="21"/>
        </w:rPr>
      </w:pPr>
      <w:r>
        <w:rPr>
          <w:szCs w:val="21"/>
        </w:rPr>
        <w:t>本项目申请发明专利</w:t>
      </w:r>
      <w:r>
        <w:rPr>
          <w:szCs w:val="21"/>
        </w:rPr>
        <w:t>1</w:t>
      </w:r>
      <w:r>
        <w:rPr>
          <w:szCs w:val="21"/>
        </w:rPr>
        <w:t>项，发表</w:t>
      </w:r>
      <w:r>
        <w:rPr>
          <w:szCs w:val="21"/>
        </w:rPr>
        <w:t>SCI</w:t>
      </w:r>
      <w:r>
        <w:rPr>
          <w:szCs w:val="21"/>
        </w:rPr>
        <w:t>论文</w:t>
      </w:r>
      <w:r>
        <w:rPr>
          <w:rFonts w:hint="eastAsia"/>
          <w:szCs w:val="21"/>
        </w:rPr>
        <w:t>30</w:t>
      </w:r>
      <w:r>
        <w:rPr>
          <w:szCs w:val="21"/>
        </w:rPr>
        <w:t>余篇，获国家自然科学基金</w:t>
      </w:r>
      <w:r>
        <w:rPr>
          <w:rFonts w:hint="eastAsia"/>
          <w:szCs w:val="21"/>
        </w:rPr>
        <w:t>3</w:t>
      </w:r>
      <w:r>
        <w:rPr>
          <w:szCs w:val="21"/>
        </w:rPr>
        <w:t>项，辽宁省自然</w:t>
      </w:r>
      <w:r>
        <w:rPr>
          <w:szCs w:val="21"/>
        </w:rPr>
        <w:lastRenderedPageBreak/>
        <w:t>科学基金</w:t>
      </w:r>
      <w:r>
        <w:rPr>
          <w:szCs w:val="21"/>
        </w:rPr>
        <w:t>4</w:t>
      </w:r>
      <w:r>
        <w:rPr>
          <w:szCs w:val="21"/>
        </w:rPr>
        <w:t>项，辽宁省教育厅项目</w:t>
      </w:r>
      <w:r>
        <w:rPr>
          <w:szCs w:val="21"/>
        </w:rPr>
        <w:t>3</w:t>
      </w:r>
      <w:r>
        <w:rPr>
          <w:szCs w:val="21"/>
        </w:rPr>
        <w:t>项，并多次于中国药理学会第十次全国学术会议（</w:t>
      </w:r>
      <w:r>
        <w:rPr>
          <w:szCs w:val="21"/>
        </w:rPr>
        <w:t>2009</w:t>
      </w:r>
      <w:r>
        <w:rPr>
          <w:szCs w:val="21"/>
        </w:rPr>
        <w:t>年）、首届东方药理论坛等（</w:t>
      </w:r>
      <w:r>
        <w:rPr>
          <w:szCs w:val="21"/>
        </w:rPr>
        <w:t>2018</w:t>
      </w:r>
      <w:r>
        <w:rPr>
          <w:szCs w:val="21"/>
        </w:rPr>
        <w:t>年）等学术会议中与国内外学者进行交流，收到广泛关注与好评。培养硕士生</w:t>
      </w:r>
      <w:r>
        <w:rPr>
          <w:rFonts w:hint="eastAsia"/>
          <w:szCs w:val="21"/>
        </w:rPr>
        <w:t>40</w:t>
      </w:r>
      <w:r>
        <w:rPr>
          <w:szCs w:val="21"/>
        </w:rPr>
        <w:t>余人、博士生</w:t>
      </w:r>
      <w:r>
        <w:rPr>
          <w:rFonts w:hint="eastAsia"/>
          <w:szCs w:val="21"/>
        </w:rPr>
        <w:t>4</w:t>
      </w:r>
      <w:r>
        <w:rPr>
          <w:szCs w:val="21"/>
        </w:rPr>
        <w:t>人，并多次指导本科生在全国各类创新创业大赛中取得佳绩。本成果更拓宽了多种中药及硫辛酸治疗代谢性疾病的临床适应症，有助于中药的现代化及国际化，也为代谢性疾病的新药研发提供了坚实的理论依据及临床前基础。</w:t>
      </w:r>
    </w:p>
    <w:p w:rsidR="001D25EC" w:rsidRDefault="001D25EC">
      <w:pPr>
        <w:adjustRightInd w:val="0"/>
        <w:snapToGrid w:val="0"/>
        <w:spacing w:line="500" w:lineRule="exact"/>
        <w:rPr>
          <w:rFonts w:ascii="仿宋" w:eastAsia="仿宋" w:hAnsi="仿宋"/>
          <w:color w:val="000000"/>
          <w:kern w:val="0"/>
          <w:sz w:val="28"/>
          <w:szCs w:val="28"/>
        </w:rPr>
      </w:pPr>
    </w:p>
    <w:p w:rsidR="001D25EC" w:rsidRDefault="001D25EC">
      <w:pPr>
        <w:adjustRightInd w:val="0"/>
        <w:snapToGrid w:val="0"/>
        <w:spacing w:line="500" w:lineRule="exact"/>
        <w:rPr>
          <w:rFonts w:ascii="仿宋" w:eastAsia="仿宋" w:hAnsi="仿宋"/>
          <w:color w:val="000000"/>
          <w:kern w:val="0"/>
          <w:sz w:val="28"/>
          <w:szCs w:val="28"/>
        </w:rPr>
      </w:pPr>
    </w:p>
    <w:p w:rsidR="001D25EC" w:rsidRDefault="001D25EC">
      <w:pPr>
        <w:adjustRightInd w:val="0"/>
        <w:snapToGrid w:val="0"/>
        <w:spacing w:line="500" w:lineRule="exact"/>
        <w:rPr>
          <w:rFonts w:ascii="仿宋" w:eastAsia="仿宋" w:hAnsi="仿宋"/>
          <w:color w:val="000000"/>
          <w:kern w:val="0"/>
          <w:sz w:val="28"/>
          <w:szCs w:val="28"/>
        </w:rPr>
      </w:pPr>
    </w:p>
    <w:p w:rsidR="001D25EC" w:rsidRDefault="001D25EC">
      <w:pPr>
        <w:adjustRightInd w:val="0"/>
        <w:snapToGrid w:val="0"/>
        <w:spacing w:line="500" w:lineRule="exact"/>
        <w:rPr>
          <w:rFonts w:ascii="仿宋" w:eastAsia="仿宋" w:hAnsi="仿宋"/>
          <w:color w:val="000000"/>
          <w:kern w:val="0"/>
          <w:sz w:val="28"/>
          <w:szCs w:val="28"/>
        </w:rPr>
      </w:pPr>
    </w:p>
    <w:p w:rsidR="001D25EC" w:rsidRDefault="001D25EC">
      <w:pPr>
        <w:adjustRightInd w:val="0"/>
        <w:snapToGrid w:val="0"/>
        <w:spacing w:line="500" w:lineRule="exact"/>
        <w:jc w:val="center"/>
        <w:rPr>
          <w:rFonts w:ascii="仿宋" w:eastAsia="仿宋" w:hAnsi="仿宋" w:hint="eastAsia"/>
          <w:color w:val="000000"/>
          <w:kern w:val="0"/>
          <w:sz w:val="28"/>
          <w:szCs w:val="28"/>
        </w:rPr>
      </w:pPr>
      <w:r>
        <w:rPr>
          <w:rFonts w:ascii="仿宋" w:eastAsia="仿宋" w:hAnsi="仿宋"/>
          <w:color w:val="000000"/>
          <w:kern w:val="0"/>
          <w:sz w:val="28"/>
          <w:szCs w:val="28"/>
        </w:rPr>
        <w:t xml:space="preserve">           </w:t>
      </w:r>
    </w:p>
    <w:p w:rsidR="001D25EC" w:rsidRDefault="001D25EC">
      <w:pPr>
        <w:adjustRightInd w:val="0"/>
        <w:snapToGrid w:val="0"/>
        <w:spacing w:line="500" w:lineRule="exact"/>
        <w:jc w:val="center"/>
        <w:rPr>
          <w:rFonts w:ascii="仿宋" w:eastAsia="仿宋" w:hAnsi="仿宋"/>
          <w:sz w:val="28"/>
          <w:szCs w:val="28"/>
        </w:rPr>
      </w:pPr>
      <w:r>
        <w:rPr>
          <w:rFonts w:ascii="仿宋" w:eastAsia="仿宋" w:hAnsi="仿宋"/>
          <w:color w:val="000000"/>
          <w:kern w:val="0"/>
          <w:sz w:val="28"/>
          <w:szCs w:val="28"/>
        </w:rPr>
        <w:t xml:space="preserve"> </w:t>
      </w:r>
    </w:p>
    <w:sectPr w:rsidR="001D25E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E73" w:rsidRDefault="009A5E73" w:rsidP="00B30BA2">
      <w:r>
        <w:separator/>
      </w:r>
    </w:p>
  </w:endnote>
  <w:endnote w:type="continuationSeparator" w:id="1">
    <w:p w:rsidR="009A5E73" w:rsidRDefault="009A5E73" w:rsidP="00B30B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E73" w:rsidRDefault="009A5E73" w:rsidP="00B30BA2">
      <w:r>
        <w:separator/>
      </w:r>
    </w:p>
  </w:footnote>
  <w:footnote w:type="continuationSeparator" w:id="1">
    <w:p w:rsidR="009A5E73" w:rsidRDefault="009A5E73" w:rsidP="00B30B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B4986"/>
    <w:rsid w:val="001D25EC"/>
    <w:rsid w:val="001F562F"/>
    <w:rsid w:val="002E5041"/>
    <w:rsid w:val="002E5E9A"/>
    <w:rsid w:val="002E6DAE"/>
    <w:rsid w:val="00353788"/>
    <w:rsid w:val="003761BB"/>
    <w:rsid w:val="00377CCA"/>
    <w:rsid w:val="003824E0"/>
    <w:rsid w:val="003A698C"/>
    <w:rsid w:val="003B4986"/>
    <w:rsid w:val="003B6679"/>
    <w:rsid w:val="00422604"/>
    <w:rsid w:val="00467C3C"/>
    <w:rsid w:val="004B3EF8"/>
    <w:rsid w:val="004E30A0"/>
    <w:rsid w:val="004F5510"/>
    <w:rsid w:val="0050395F"/>
    <w:rsid w:val="0054340C"/>
    <w:rsid w:val="005945F5"/>
    <w:rsid w:val="005C1337"/>
    <w:rsid w:val="005E1A3A"/>
    <w:rsid w:val="005E6484"/>
    <w:rsid w:val="00666C03"/>
    <w:rsid w:val="00682C34"/>
    <w:rsid w:val="007B051D"/>
    <w:rsid w:val="008112F5"/>
    <w:rsid w:val="00881E8B"/>
    <w:rsid w:val="00891DDA"/>
    <w:rsid w:val="008F2F48"/>
    <w:rsid w:val="008F4EC2"/>
    <w:rsid w:val="009A5E73"/>
    <w:rsid w:val="00A63C16"/>
    <w:rsid w:val="00A935B8"/>
    <w:rsid w:val="00B05276"/>
    <w:rsid w:val="00B17B12"/>
    <w:rsid w:val="00B30BA2"/>
    <w:rsid w:val="00B8268D"/>
    <w:rsid w:val="00B97E85"/>
    <w:rsid w:val="00BB2096"/>
    <w:rsid w:val="00CF6187"/>
    <w:rsid w:val="00D669A1"/>
    <w:rsid w:val="00E04BAE"/>
    <w:rsid w:val="00EB457A"/>
    <w:rsid w:val="00EC23D5"/>
    <w:rsid w:val="00F070E0"/>
    <w:rsid w:val="00F6016C"/>
    <w:rsid w:val="00F633CA"/>
    <w:rsid w:val="00F95213"/>
    <w:rsid w:val="00FC0997"/>
    <w:rsid w:val="00FD4406"/>
    <w:rsid w:val="187F4FBF"/>
    <w:rsid w:val="24DC11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character" w:customStyle="1" w:styleId="a4">
    <w:name w:val="批注框文本 字符"/>
    <w:link w:val="a3"/>
    <w:rPr>
      <w:kern w:val="2"/>
      <w:sz w:val="18"/>
      <w:szCs w:val="18"/>
    </w:rPr>
  </w:style>
  <w:style w:type="paragraph" w:styleId="a5">
    <w:name w:val="footer"/>
    <w:basedOn w:val="a"/>
    <w:link w:val="a6"/>
    <w:pPr>
      <w:tabs>
        <w:tab w:val="center" w:pos="4153"/>
        <w:tab w:val="right" w:pos="8306"/>
      </w:tabs>
      <w:snapToGrid w:val="0"/>
      <w:jc w:val="left"/>
    </w:pPr>
    <w:rPr>
      <w:sz w:val="18"/>
      <w:szCs w:val="18"/>
    </w:rPr>
  </w:style>
  <w:style w:type="character" w:customStyle="1" w:styleId="a6">
    <w:name w:val="页脚 字符"/>
    <w:link w:val="a5"/>
    <w:rPr>
      <w:kern w:val="2"/>
      <w:sz w:val="18"/>
      <w:szCs w:val="18"/>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188</Words>
  <Characters>1075</Characters>
  <Application>Microsoft Office Word</Application>
  <DocSecurity>0</DocSecurity>
  <Lines>8</Lines>
  <Paragraphs>2</Paragraphs>
  <ScaleCrop>false</ScaleCrop>
  <Company>MC SYSTEM</Company>
  <LinksUpToDate>false</LinksUpToDate>
  <CharactersWithSpaces>1261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申报北京市科学技术奖候选项目</dc:title>
  <dc:creator>MC SYSTEM</dc:creator>
  <cp:lastModifiedBy>Administrator</cp:lastModifiedBy>
  <cp:revision>2</cp:revision>
  <dcterms:created xsi:type="dcterms:W3CDTF">2022-04-14T06:01:00Z</dcterms:created>
  <dcterms:modified xsi:type="dcterms:W3CDTF">2022-04-14T06:01:00Z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5A0570FC54FF4AD5B66D5DADF8F25FD7</vt:lpwstr>
  </property>
</Properties>
</file>